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In Trusting Hands Service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Cancellation Policy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s an agency we believe we are working with  a team of dedicated providers. For that reason we have a cancellation policy in place. A family can cancel a provider service at any time, but if they cancel with less than 24 hours notice we automatically charge them a cancellation fee equivalent to 2  hours of the provider time.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If the care provider has to cancel without 24 hours notice and we can’t find a replacement  you will not be charged for services. Our cancellation policy helps us to have a pool of providers that is willing and able to work with families and even commit to last minute service requests from our familie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